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35"/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4"/>
        <w:gridCol w:w="4113"/>
        <w:gridCol w:w="56"/>
      </w:tblGrid>
      <w:tr w:rsidR="006E0AEB" w:rsidTr="004D141B">
        <w:trPr>
          <w:trHeight w:val="1955"/>
        </w:trPr>
        <w:tc>
          <w:tcPr>
            <w:tcW w:w="4407" w:type="dxa"/>
            <w:gridSpan w:val="2"/>
            <w:hideMark/>
          </w:tcPr>
          <w:p w:rsidR="006E0AEB" w:rsidRDefault="006E0AEB" w:rsidP="004D141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ИСПОЛНИТЕЛЬНЫЙ  КОМИТЕТ</w:t>
            </w:r>
          </w:p>
          <w:p w:rsidR="006E0AEB" w:rsidRDefault="006E0AEB" w:rsidP="004D141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СТАРОДРОЖЖАНОВСКОГО СЕЛЬСКОГО ПОСЕЛЕНИЯ ДРОЖЖАНОВСКОГО</w:t>
            </w:r>
          </w:p>
          <w:p w:rsidR="006E0AEB" w:rsidRDefault="006E0AEB" w:rsidP="004D141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6E0AEB" w:rsidRDefault="006E0AEB" w:rsidP="004D141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</w:tc>
        <w:tc>
          <w:tcPr>
            <w:tcW w:w="1264" w:type="dxa"/>
          </w:tcPr>
          <w:p w:rsidR="006E0AEB" w:rsidRDefault="006E0AEB" w:rsidP="004D141B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6E0AEB" w:rsidRDefault="006E0AEB" w:rsidP="004D141B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9" w:type="dxa"/>
            <w:gridSpan w:val="2"/>
            <w:hideMark/>
          </w:tcPr>
          <w:p w:rsidR="006E0AEB" w:rsidRDefault="006E0AEB" w:rsidP="004D141B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ТАТАРСТАН РЕСПУБЛИКАСЫ</w:t>
            </w:r>
          </w:p>
          <w:p w:rsidR="006E0AEB" w:rsidRDefault="006E0AEB" w:rsidP="004D141B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 w:eastAsia="en-US"/>
              </w:rPr>
            </w:pP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color w:val="000000"/>
                <w:lang w:val="tt-RU" w:eastAsia="en-US"/>
              </w:rPr>
              <w:t xml:space="preserve">ЧҮПРӘЛЕ </w:t>
            </w:r>
          </w:p>
          <w:p w:rsidR="006E0AEB" w:rsidRDefault="006E0AEB" w:rsidP="004D141B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caps/>
                <w:noProof/>
                <w:color w:val="000000"/>
                <w:lang w:val="tt-RU"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>МУНИЦИПАЛЬ</w:t>
            </w:r>
            <w:r>
              <w:rPr>
                <w:caps/>
                <w:noProof/>
                <w:color w:val="000000"/>
                <w:lang w:val="tt-RU" w:eastAsia="en-US"/>
              </w:rPr>
              <w:t xml:space="preserve"> </w:t>
            </w:r>
            <w:r>
              <w:rPr>
                <w:caps/>
                <w:noProof/>
                <w:color w:val="000000"/>
                <w:lang w:eastAsia="en-US"/>
              </w:rPr>
              <w:t>районы</w:t>
            </w:r>
          </w:p>
          <w:p w:rsidR="006E0AEB" w:rsidRDefault="006E0AEB" w:rsidP="004D141B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 xml:space="preserve"> ИСКЕ </w:t>
            </w:r>
            <w:r>
              <w:rPr>
                <w:noProof/>
                <w:color w:val="000000"/>
                <w:lang w:val="tt-RU" w:eastAsia="en-US"/>
              </w:rPr>
              <w:t xml:space="preserve">ЧҮПРӘЛЕ </w:t>
            </w:r>
          </w:p>
          <w:p w:rsidR="006E0AEB" w:rsidRDefault="006E0AEB" w:rsidP="004D141B">
            <w:pPr>
              <w:spacing w:after="60" w:line="276" w:lineRule="auto"/>
              <w:ind w:right="-108"/>
              <w:jc w:val="center"/>
              <w:rPr>
                <w:lang w:eastAsia="en-US"/>
              </w:rPr>
            </w:pPr>
            <w:r>
              <w:rPr>
                <w:caps/>
                <w:noProof/>
                <w:color w:val="000000"/>
                <w:lang w:eastAsia="en-US"/>
              </w:rPr>
              <w:t>АВЫЛ  ЖИРЛЕГЕ  БАШКАРМА КОМИТЕТЫ</w:t>
            </w:r>
          </w:p>
        </w:tc>
      </w:tr>
      <w:tr w:rsidR="006E0AEB" w:rsidTr="004D141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E0AEB" w:rsidRDefault="002E7DD7" w:rsidP="004D141B">
            <w:pPr>
              <w:tabs>
                <w:tab w:val="left" w:pos="18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6E0AEB" w:rsidRDefault="006E0AEB" w:rsidP="004D141B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6E0AEB" w:rsidRDefault="006E0AEB" w:rsidP="006E0AE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3238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</w:t>
      </w:r>
      <w:r w:rsidR="00932385">
        <w:rPr>
          <w:b/>
          <w:sz w:val="28"/>
          <w:szCs w:val="28"/>
        </w:rPr>
        <w:t>КАРАР</w:t>
      </w:r>
    </w:p>
    <w:p w:rsidR="006E0AEB" w:rsidRDefault="001F6A09" w:rsidP="006E0AE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2E7DD7">
        <w:rPr>
          <w:sz w:val="28"/>
          <w:szCs w:val="28"/>
        </w:rPr>
        <w:t>09</w:t>
      </w:r>
      <w:r w:rsidR="00932385">
        <w:rPr>
          <w:sz w:val="28"/>
          <w:szCs w:val="28"/>
        </w:rPr>
        <w:t>.04.2018</w:t>
      </w:r>
      <w:r w:rsidR="006E0AEB">
        <w:rPr>
          <w:sz w:val="28"/>
          <w:szCs w:val="28"/>
        </w:rPr>
        <w:t xml:space="preserve"> г.</w:t>
      </w:r>
      <w:r w:rsidR="006E0AEB">
        <w:rPr>
          <w:sz w:val="20"/>
          <w:szCs w:val="20"/>
        </w:rPr>
        <w:t xml:space="preserve">                       с.Старое Дрожжаное                                     </w:t>
      </w:r>
      <w:r w:rsidR="006E0AEB">
        <w:rPr>
          <w:sz w:val="28"/>
          <w:szCs w:val="28"/>
        </w:rPr>
        <w:t xml:space="preserve">№ </w:t>
      </w:r>
      <w:r w:rsidR="002E7DD7">
        <w:rPr>
          <w:sz w:val="28"/>
          <w:szCs w:val="28"/>
        </w:rPr>
        <w:t>9</w:t>
      </w:r>
    </w:p>
    <w:p w:rsidR="005B6E96" w:rsidRPr="004A32C5" w:rsidRDefault="005B6E96" w:rsidP="001F6A09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0"/>
        </w:rPr>
      </w:pPr>
    </w:p>
    <w:p w:rsidR="00607004" w:rsidRDefault="00607004" w:rsidP="00607004">
      <w:pPr>
        <w:ind w:left="58"/>
        <w:rPr>
          <w:sz w:val="28"/>
          <w:szCs w:val="28"/>
        </w:rPr>
      </w:pPr>
      <w:r>
        <w:rPr>
          <w:sz w:val="28"/>
          <w:szCs w:val="28"/>
        </w:rPr>
        <w:t>Об условиях оплаты труда работника</w:t>
      </w:r>
    </w:p>
    <w:p w:rsidR="00607004" w:rsidRDefault="00607004" w:rsidP="00607004">
      <w:pPr>
        <w:ind w:left="58"/>
        <w:rPr>
          <w:sz w:val="28"/>
          <w:szCs w:val="28"/>
        </w:rPr>
      </w:pPr>
      <w:r>
        <w:rPr>
          <w:sz w:val="28"/>
          <w:szCs w:val="28"/>
        </w:rPr>
        <w:t>Исполнительного комитета Стародрожжановского</w:t>
      </w:r>
    </w:p>
    <w:p w:rsidR="00607004" w:rsidRDefault="00607004" w:rsidP="00607004">
      <w:pPr>
        <w:ind w:left="58"/>
        <w:rPr>
          <w:sz w:val="28"/>
          <w:szCs w:val="28"/>
        </w:rPr>
      </w:pPr>
      <w:r>
        <w:rPr>
          <w:sz w:val="28"/>
          <w:szCs w:val="28"/>
        </w:rPr>
        <w:t>сельского поселения, на которые не распространяется</w:t>
      </w:r>
    </w:p>
    <w:p w:rsidR="00607004" w:rsidRDefault="00607004" w:rsidP="00607004">
      <w:pPr>
        <w:ind w:left="58"/>
        <w:rPr>
          <w:sz w:val="28"/>
          <w:szCs w:val="28"/>
        </w:rPr>
      </w:pPr>
      <w:r>
        <w:rPr>
          <w:sz w:val="28"/>
          <w:szCs w:val="28"/>
        </w:rPr>
        <w:t xml:space="preserve"> Единая тарифная сетка по оплате труда</w:t>
      </w:r>
    </w:p>
    <w:p w:rsidR="00607004" w:rsidRDefault="00607004" w:rsidP="00607004">
      <w:pPr>
        <w:ind w:left="58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работников бюджетной сферы.</w:t>
      </w:r>
    </w:p>
    <w:p w:rsidR="00607004" w:rsidRDefault="00607004" w:rsidP="00607004">
      <w:pPr>
        <w:ind w:left="72" w:right="-4536"/>
        <w:rPr>
          <w:sz w:val="28"/>
          <w:szCs w:val="28"/>
        </w:rPr>
      </w:pPr>
    </w:p>
    <w:p w:rsidR="00607004" w:rsidRDefault="00607004" w:rsidP="00607004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Кабинета Министров Республики Татарстан от «30» марта 2018 года -№195, в целях обеспечения социальных гарантий и упорядочения оплаты труда работника Исполнительного комитета Стародрожжановского сельского поселения</w:t>
      </w:r>
      <w:r w:rsidR="00932385">
        <w:rPr>
          <w:sz w:val="28"/>
          <w:szCs w:val="28"/>
        </w:rPr>
        <w:t xml:space="preserve"> Дрожжановского муниципального района</w:t>
      </w:r>
      <w:r>
        <w:rPr>
          <w:sz w:val="28"/>
          <w:szCs w:val="28"/>
        </w:rPr>
        <w:t xml:space="preserve">, на которые не распространяется Единая тарифная сетка по оплате труда работников бюджетной сферы, на основании постановления Исполнительного комитета Дрожжановского муниципального района №151 от 30 марта 2018 года, Исполнительный комитет Стародрожжановского сельского поселения Дрожжановского муниципального района </w:t>
      </w:r>
      <w:r w:rsidR="00932385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07004" w:rsidRDefault="00607004" w:rsidP="00607004">
      <w:pPr>
        <w:numPr>
          <w:ilvl w:val="0"/>
          <w:numId w:val="1"/>
        </w:numPr>
        <w:spacing w:after="14" w:line="244" w:lineRule="auto"/>
        <w:ind w:right="12" w:hanging="79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Установить, что:</w:t>
      </w:r>
    </w:p>
    <w:p w:rsidR="00607004" w:rsidRDefault="00607004" w:rsidP="00607004">
      <w:pPr>
        <w:spacing w:after="62"/>
        <w:ind w:left="57" w:right="-284" w:firstLine="5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заработн</w:t>
      </w:r>
      <w:r w:rsidR="00932385">
        <w:rPr>
          <w:sz w:val="28"/>
          <w:szCs w:val="28"/>
        </w:rPr>
        <w:t>ая плата работника И</w:t>
      </w:r>
      <w:r>
        <w:rPr>
          <w:sz w:val="28"/>
          <w:szCs w:val="28"/>
        </w:rPr>
        <w:t xml:space="preserve">сполнительного комитета </w:t>
      </w:r>
      <w:r w:rsidR="00932385">
        <w:rPr>
          <w:sz w:val="28"/>
          <w:szCs w:val="28"/>
        </w:rPr>
        <w:t>Стародрожжановского</w:t>
      </w:r>
      <w:r>
        <w:rPr>
          <w:sz w:val="28"/>
          <w:szCs w:val="28"/>
        </w:rPr>
        <w:t xml:space="preserve"> сельского поселения</w:t>
      </w:r>
      <w:r w:rsidR="00932385">
        <w:rPr>
          <w:sz w:val="28"/>
          <w:szCs w:val="28"/>
        </w:rPr>
        <w:t xml:space="preserve"> Дрожжановского муниципального района</w:t>
      </w:r>
      <w:r>
        <w:rPr>
          <w:sz w:val="28"/>
          <w:szCs w:val="28"/>
        </w:rPr>
        <w:t>, на которые не распространяется Единая тарифная сетка по оплате труда работников бюджетной сферы Республики Татарстан (далее — исполнительный комитет) состоит из месячного должностного оклада, ежемесячной надбавки к должностному окладу за выслугу лет, ежемесячной надбавки к должностному окладу за сложность и напряженность, ежемесячного денежного поощрения, премий по результатам работы, единовременной выплаты</w:t>
      </w:r>
      <w:proofErr w:type="gramEnd"/>
      <w:r>
        <w:rPr>
          <w:sz w:val="28"/>
          <w:szCs w:val="28"/>
        </w:rPr>
        <w:t xml:space="preserve"> при предоставлении ежегодного оплачиваемого отпуска, материальной помощи, а также иных выплат в соответствии с законодательством. Для специалиста в состав заработной платы включаются дополнительные выплаты за совмещение профессий, расширение зон обслуживания и выполнение наряду со своей основной работой обязанностей временно отсутствующих работников; </w:t>
      </w:r>
    </w:p>
    <w:p w:rsidR="00607004" w:rsidRDefault="00607004" w:rsidP="00607004">
      <w:pPr>
        <w:spacing w:after="62"/>
        <w:ind w:left="72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 главного специалиста исполнительного комитета исчисляются кратно размеру должностного оклада </w:t>
      </w:r>
      <w:r w:rsidR="0093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 организации бюджетной сферы в муниципальных образованиях, на которые не распространяется Единая тарифная сетка по оплате труда </w:t>
      </w:r>
      <w:r>
        <w:rPr>
          <w:sz w:val="28"/>
          <w:szCs w:val="28"/>
        </w:rPr>
        <w:lastRenderedPageBreak/>
        <w:t xml:space="preserve">работников бюджетной сферы Республики Татарстан, который составляет 11 163 рубля; 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кратности, применяемые при исчислении размеров должностных окладов специалистов согласно приложению № 1; 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главному специалисту исполнительного комитета: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>1)ежемесячную надбавку к должностному окладу за выслугу лет в следующих размерах: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стаже работы                                   в процентах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 до 5 лет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ab/>
        <w:t>5 от 5 до 10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7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ab/>
        <w:t>7 от 10 до 15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10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свыше 15 лет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15</w:t>
      </w:r>
    </w:p>
    <w:p w:rsidR="00607004" w:rsidRDefault="00607004" w:rsidP="00607004">
      <w:pPr>
        <w:spacing w:after="62"/>
        <w:ind w:left="57" w:right="12" w:firstLine="515"/>
        <w:jc w:val="both"/>
        <w:rPr>
          <w:sz w:val="28"/>
          <w:szCs w:val="28"/>
        </w:rPr>
      </w:pPr>
      <w:r>
        <w:rPr>
          <w:sz w:val="28"/>
          <w:szCs w:val="28"/>
        </w:rPr>
        <w:t>2)  ежемесячную надбавку к должностному окладу за сложность и напряженность работы в размере 10 процентов должностного оклада;</w:t>
      </w:r>
    </w:p>
    <w:p w:rsidR="00607004" w:rsidRDefault="00607004" w:rsidP="00607004">
      <w:pPr>
        <w:spacing w:line="264" w:lineRule="auto"/>
        <w:ind w:left="10" w:right="3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З) ежемесячное денежное поощрение в размере двух процентов должностного оклада;</w:t>
      </w:r>
    </w:p>
    <w:p w:rsidR="00607004" w:rsidRDefault="00607004" w:rsidP="00607004">
      <w:pPr>
        <w:ind w:left="72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 премии по результатам работы в пределах установленного фонда оплаты труда (размер премии определяется </w:t>
      </w:r>
      <w:proofErr w:type="gramStart"/>
      <w:r>
        <w:rPr>
          <w:sz w:val="28"/>
          <w:szCs w:val="28"/>
        </w:rPr>
        <w:t>исходя из результатов деятельности работника и максимальным размером не ограничивается</w:t>
      </w:r>
      <w:proofErr w:type="gramEnd"/>
      <w:r>
        <w:rPr>
          <w:sz w:val="28"/>
          <w:szCs w:val="28"/>
        </w:rPr>
        <w:t>);</w:t>
      </w:r>
    </w:p>
    <w:p w:rsidR="00607004" w:rsidRDefault="00607004" w:rsidP="00607004">
      <w:pPr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EA">
        <w:rPr>
          <w:sz w:val="28"/>
          <w:szCs w:val="28"/>
        </w:rPr>
        <w:t xml:space="preserve"> </w:t>
      </w:r>
      <w:r>
        <w:rPr>
          <w:sz w:val="28"/>
          <w:szCs w:val="28"/>
        </w:rPr>
        <w:t>5) единовременной выплаты при предоставлении ежегодного оплачиваемого отпуска в размере 120 процентов должностного оклада в год.</w:t>
      </w:r>
    </w:p>
    <w:p w:rsidR="00607004" w:rsidRDefault="00607004" w:rsidP="00607004">
      <w:pPr>
        <w:spacing w:after="45"/>
        <w:ind w:left="57" w:right="12" w:firstLine="66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специалисту,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— не позднее последнего дня работы.</w:t>
      </w:r>
    </w:p>
    <w:p w:rsidR="00607004" w:rsidRDefault="00607004" w:rsidP="00607004">
      <w:pPr>
        <w:ind w:left="57" w:right="12" w:firstLine="668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в первый год работы главному специалисту, производится пропорционально отработанному времени в календарном году.</w:t>
      </w:r>
    </w:p>
    <w:p w:rsidR="00607004" w:rsidRDefault="00607004" w:rsidP="00607004">
      <w:pPr>
        <w:ind w:left="58" w:right="12"/>
        <w:jc w:val="both"/>
        <w:rPr>
          <w:sz w:val="28"/>
          <w:szCs w:val="28"/>
        </w:rPr>
      </w:pPr>
      <w:r>
        <w:rPr>
          <w:sz w:val="28"/>
          <w:szCs w:val="28"/>
        </w:rPr>
        <w:t>Отработанное время исчисляется со дня поступления на работу по 31 декабря текущего календарного года;</w:t>
      </w:r>
    </w:p>
    <w:p w:rsidR="00607004" w:rsidRDefault="00607004" w:rsidP="00607004">
      <w:pPr>
        <w:pStyle w:val="a5"/>
        <w:ind w:left="432" w:right="1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6)материальную помощь в пределах установленного фонда оплаты труда.</w:t>
      </w:r>
    </w:p>
    <w:p w:rsidR="00607004" w:rsidRDefault="00607004" w:rsidP="00607004">
      <w:pPr>
        <w:numPr>
          <w:ilvl w:val="0"/>
          <w:numId w:val="2"/>
        </w:numPr>
        <w:spacing w:after="14" w:line="244" w:lineRule="auto"/>
        <w:ind w:right="12" w:firstLine="50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главному специалисту  дополнительную выплату за совмещение профессий, расширение зон обслуживания и выполнение наряду со своей основной работой обязанностей временно отсутствующих работников в размере до 50 процентов должностного оклада по основной работе в пределах установленного фонда оплаты труда.</w:t>
      </w:r>
    </w:p>
    <w:p w:rsidR="00D155EA" w:rsidRDefault="00D155EA" w:rsidP="00D155EA">
      <w:pPr>
        <w:numPr>
          <w:ilvl w:val="0"/>
          <w:numId w:val="2"/>
        </w:numPr>
        <w:tabs>
          <w:tab w:val="left" w:pos="851"/>
        </w:tabs>
        <w:spacing w:after="14" w:line="244" w:lineRule="auto"/>
        <w:ind w:right="12" w:firstLine="5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 главному специалисту исполнительного  комитета дополнительную выплату за работу в условиях ненормированного служебного дня</w:t>
      </w:r>
      <w:r w:rsidR="00AB2F45">
        <w:rPr>
          <w:sz w:val="28"/>
          <w:szCs w:val="28"/>
        </w:rPr>
        <w:t xml:space="preserve"> в размере 0,25 должностного оклада.</w:t>
      </w:r>
    </w:p>
    <w:p w:rsidR="00607004" w:rsidRDefault="00607004" w:rsidP="00607004">
      <w:pPr>
        <w:pStyle w:val="a5"/>
        <w:spacing w:after="65"/>
        <w:ind w:left="57" w:right="1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Производить работникам иные выплаты, предусмотренные</w:t>
      </w:r>
    </w:p>
    <w:p w:rsidR="00607004" w:rsidRDefault="00607004" w:rsidP="00607004">
      <w:pPr>
        <w:spacing w:after="65"/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соответствующими федеральными законами, законами Республики Татарстан и иными нормативными правовыми актами.</w:t>
      </w:r>
    </w:p>
    <w:p w:rsidR="00607004" w:rsidRDefault="00607004" w:rsidP="00607004">
      <w:pPr>
        <w:ind w:left="72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6.Установить, что при формировании фонда оплаты труда главного специалиста  исполнительного комитета, сверх сумм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607004" w:rsidRDefault="00607004" w:rsidP="00607004">
      <w:pPr>
        <w:numPr>
          <w:ilvl w:val="0"/>
          <w:numId w:val="3"/>
        </w:numPr>
        <w:spacing w:line="264" w:lineRule="auto"/>
        <w:ind w:right="21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ежемесячной надбавки за выслугу лет — в размере </w:t>
      </w:r>
      <w:r w:rsidR="004D141B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процентов должностных окладов;</w:t>
      </w:r>
    </w:p>
    <w:p w:rsidR="00607004" w:rsidRDefault="00607004" w:rsidP="00607004">
      <w:pPr>
        <w:numPr>
          <w:ilvl w:val="0"/>
          <w:numId w:val="3"/>
        </w:numPr>
        <w:spacing w:after="14" w:line="244" w:lineRule="auto"/>
        <w:ind w:right="21" w:firstLine="506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ежемесячной надбавки к должностному окладу за сложность и напряженность работы — в размере 10 процентов должностных окладов;</w:t>
      </w:r>
    </w:p>
    <w:p w:rsidR="00607004" w:rsidRDefault="00607004" w:rsidP="00607004">
      <w:pPr>
        <w:spacing w:after="36"/>
        <w:ind w:left="57" w:right="12" w:firstLine="506"/>
        <w:jc w:val="both"/>
        <w:rPr>
          <w:sz w:val="28"/>
          <w:szCs w:val="28"/>
        </w:rPr>
      </w:pPr>
      <w:r>
        <w:rPr>
          <w:sz w:val="28"/>
          <w:szCs w:val="28"/>
        </w:rPr>
        <w:t>З) премии по результатам работы — в размере одного процента должностных окладов;</w:t>
      </w:r>
    </w:p>
    <w:p w:rsidR="00607004" w:rsidRDefault="00607004" w:rsidP="00607004">
      <w:pPr>
        <w:numPr>
          <w:ilvl w:val="0"/>
          <w:numId w:val="4"/>
        </w:numPr>
        <w:spacing w:after="14" w:line="244" w:lineRule="auto"/>
        <w:ind w:right="12" w:firstLine="51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ежемесячного денежного поощрения в размере двух процентов должностных окладов;</w:t>
      </w:r>
    </w:p>
    <w:p w:rsidR="00607004" w:rsidRDefault="00607004" w:rsidP="00607004">
      <w:pPr>
        <w:numPr>
          <w:ilvl w:val="0"/>
          <w:numId w:val="4"/>
        </w:numPr>
        <w:spacing w:after="14" w:line="244" w:lineRule="auto"/>
        <w:ind w:right="12" w:firstLine="51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 в размере 10 процентов должностных окладов.</w:t>
      </w:r>
    </w:p>
    <w:p w:rsidR="00607004" w:rsidRDefault="00607004" w:rsidP="00607004">
      <w:pPr>
        <w:ind w:left="596" w:right="12"/>
        <w:jc w:val="both"/>
        <w:rPr>
          <w:sz w:val="28"/>
          <w:szCs w:val="28"/>
        </w:rPr>
      </w:pPr>
      <w:r>
        <w:rPr>
          <w:sz w:val="28"/>
          <w:szCs w:val="28"/>
        </w:rPr>
        <w:t>7.Установить, что:</w:t>
      </w:r>
    </w:p>
    <w:p w:rsidR="00607004" w:rsidRDefault="00607004" w:rsidP="00607004">
      <w:pPr>
        <w:ind w:left="57" w:right="12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специалиста исполнительного комитета,  а также размеры ежемесячных и иных выплат подлежат округлению до целого рубля в сторону увеличения; </w:t>
      </w:r>
    </w:p>
    <w:p w:rsidR="00607004" w:rsidRDefault="00607004" w:rsidP="00607004">
      <w:pPr>
        <w:ind w:left="57" w:right="12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должностных окладов специалистов осуществляется в размерах и в сроки, предусмотренные для повышения должностных окладов государственных гражданских служащих Республики Татарстан; </w:t>
      </w:r>
    </w:p>
    <w:p w:rsidR="00607004" w:rsidRDefault="00607004" w:rsidP="00607004">
      <w:pPr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Установить, что с принятием настоящего постановления иные условия оплаты труда работников </w:t>
      </w:r>
      <w:r w:rsidR="00E06FAB">
        <w:rPr>
          <w:sz w:val="28"/>
          <w:szCs w:val="28"/>
        </w:rPr>
        <w:t>Исполнительного комитета</w:t>
      </w:r>
      <w:r>
        <w:rPr>
          <w:sz w:val="28"/>
          <w:szCs w:val="28"/>
        </w:rPr>
        <w:t xml:space="preserve"> не применяются.</w:t>
      </w:r>
    </w:p>
    <w:p w:rsidR="00E06FAB" w:rsidRPr="00C14918" w:rsidRDefault="00607004" w:rsidP="00E06FAB">
      <w:pPr>
        <w:jc w:val="both"/>
        <w:rPr>
          <w:sz w:val="28"/>
        </w:rPr>
      </w:pPr>
      <w:r>
        <w:rPr>
          <w:sz w:val="28"/>
          <w:szCs w:val="28"/>
        </w:rPr>
        <w:t xml:space="preserve">         9. </w:t>
      </w:r>
      <w:proofErr w:type="gramStart"/>
      <w:r>
        <w:rPr>
          <w:sz w:val="28"/>
          <w:szCs w:val="28"/>
        </w:rPr>
        <w:t xml:space="preserve">Признать утратившим силу распоряжение Исполнительного комитета </w:t>
      </w:r>
      <w:r w:rsidR="00E06FAB">
        <w:rPr>
          <w:sz w:val="28"/>
          <w:szCs w:val="28"/>
        </w:rPr>
        <w:t>Стародрожжановского</w:t>
      </w:r>
      <w:r>
        <w:rPr>
          <w:sz w:val="28"/>
          <w:szCs w:val="28"/>
        </w:rPr>
        <w:t xml:space="preserve"> сельского поселения   Дрожжановского муниципального района Республики Татарстан от 29.09.2017 </w:t>
      </w:r>
      <w:r>
        <w:rPr>
          <w:noProof/>
          <w:sz w:val="28"/>
          <w:szCs w:val="28"/>
        </w:rPr>
        <w:drawing>
          <wp:inline distT="0" distB="0" distL="0" distR="0" wp14:anchorId="6F4711D8" wp14:editId="1484866E">
            <wp:extent cx="1619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06FAB">
        <w:rPr>
          <w:sz w:val="28"/>
          <w:szCs w:val="28"/>
        </w:rPr>
        <w:t>35 «</w:t>
      </w:r>
      <w:r w:rsidR="00E06FAB" w:rsidRPr="00C14918">
        <w:rPr>
          <w:sz w:val="28"/>
        </w:rPr>
        <w:t>О повышении с 1 октября 201</w:t>
      </w:r>
      <w:r w:rsidR="00E06FAB">
        <w:rPr>
          <w:sz w:val="28"/>
        </w:rPr>
        <w:t xml:space="preserve">7 </w:t>
      </w:r>
      <w:r w:rsidR="00E06FAB" w:rsidRPr="00C14918">
        <w:rPr>
          <w:sz w:val="28"/>
        </w:rPr>
        <w:t>года должностных окладов</w:t>
      </w:r>
      <w:r w:rsidR="00E06FAB">
        <w:rPr>
          <w:sz w:val="28"/>
        </w:rPr>
        <w:t xml:space="preserve"> </w:t>
      </w:r>
      <w:r w:rsidR="00E06FAB" w:rsidRPr="00C14918">
        <w:rPr>
          <w:sz w:val="28"/>
        </w:rPr>
        <w:t xml:space="preserve">работников Исполнительного комитета </w:t>
      </w:r>
      <w:r w:rsidR="00E06FAB">
        <w:rPr>
          <w:sz w:val="28"/>
        </w:rPr>
        <w:t>Стародрожжановского</w:t>
      </w:r>
      <w:r w:rsidR="00E06FAB" w:rsidRPr="00C14918">
        <w:rPr>
          <w:sz w:val="28"/>
        </w:rPr>
        <w:t xml:space="preserve"> сельского поселения Дрожжановского муниципального района Республики Татарстан, на которые не распространяется Единая тарифная сетка по оплате труда работников бюджетной сферы Республики Татарстан</w:t>
      </w:r>
      <w:r w:rsidR="00016167">
        <w:rPr>
          <w:sz w:val="28"/>
        </w:rPr>
        <w:t>».</w:t>
      </w:r>
      <w:proofErr w:type="gramEnd"/>
    </w:p>
    <w:p w:rsidR="00607004" w:rsidRDefault="00607004" w:rsidP="00607004">
      <w:pPr>
        <w:ind w:right="12"/>
        <w:jc w:val="both"/>
        <w:rPr>
          <w:color w:val="000000"/>
          <w:sz w:val="28"/>
          <w:szCs w:val="28"/>
          <w:lang w:eastAsia="en-US"/>
        </w:rPr>
      </w:pPr>
    </w:p>
    <w:p w:rsidR="00607004" w:rsidRDefault="00607004" w:rsidP="00607004">
      <w:pPr>
        <w:ind w:right="12"/>
        <w:jc w:val="both"/>
        <w:rPr>
          <w:sz w:val="28"/>
          <w:szCs w:val="28"/>
        </w:rPr>
      </w:pPr>
    </w:p>
    <w:p w:rsidR="00E06FAB" w:rsidRDefault="00E06FAB" w:rsidP="00E06FAB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Руководитель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</w:p>
    <w:p w:rsidR="00E06FAB" w:rsidRDefault="00E06FAB" w:rsidP="00E06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комитета:                                         </w:t>
      </w:r>
      <w:proofErr w:type="spellStart"/>
      <w:r>
        <w:rPr>
          <w:sz w:val="28"/>
          <w:szCs w:val="28"/>
        </w:rPr>
        <w:t>С.Х.Сирукова</w:t>
      </w:r>
      <w:proofErr w:type="spellEnd"/>
    </w:p>
    <w:p w:rsidR="00E06FAB" w:rsidRDefault="00E06FAB" w:rsidP="00E06FAB">
      <w:pPr>
        <w:jc w:val="both"/>
        <w:rPr>
          <w:sz w:val="28"/>
          <w:szCs w:val="28"/>
        </w:rPr>
      </w:pPr>
    </w:p>
    <w:p w:rsidR="00607004" w:rsidRDefault="00607004" w:rsidP="00607004">
      <w:pPr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607004" w:rsidRDefault="00607004" w:rsidP="00607004">
      <w:pPr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№1</w:t>
      </w:r>
    </w:p>
    <w:p w:rsidR="00607004" w:rsidRDefault="00607004" w:rsidP="00E06FAB">
      <w:pPr>
        <w:ind w:left="6372" w:right="12" w:firstLin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06FA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E06FAB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proofErr w:type="spellStart"/>
      <w:r w:rsidR="00E06FAB">
        <w:rPr>
          <w:sz w:val="28"/>
          <w:szCs w:val="28"/>
        </w:rPr>
        <w:t>Стародрожжановского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Дрожжановского муниципального района Республики Татарстан</w:t>
      </w:r>
    </w:p>
    <w:p w:rsidR="00607004" w:rsidRDefault="00607004" w:rsidP="00607004">
      <w:pPr>
        <w:ind w:left="6372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DD7">
        <w:rPr>
          <w:sz w:val="28"/>
          <w:szCs w:val="28"/>
        </w:rPr>
        <w:t>09.04.2018</w:t>
      </w:r>
      <w:r>
        <w:rPr>
          <w:sz w:val="28"/>
          <w:szCs w:val="28"/>
        </w:rPr>
        <w:t xml:space="preserve"> № </w:t>
      </w:r>
      <w:r w:rsidR="002E7DD7">
        <w:rPr>
          <w:sz w:val="28"/>
          <w:szCs w:val="28"/>
        </w:rPr>
        <w:t>9</w:t>
      </w:r>
    </w:p>
    <w:p w:rsidR="00607004" w:rsidRDefault="00607004" w:rsidP="006070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7004" w:rsidRDefault="00607004" w:rsidP="00607004">
      <w:pPr>
        <w:ind w:left="57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кратности, применяемые при исчислении размеров должностных окладов главного специалиста исполнительного комитета </w:t>
      </w:r>
      <w:r w:rsidR="00E06FAB">
        <w:rPr>
          <w:sz w:val="28"/>
          <w:szCs w:val="28"/>
        </w:rPr>
        <w:t xml:space="preserve">Стародрожжановского </w:t>
      </w:r>
      <w:r>
        <w:rPr>
          <w:sz w:val="28"/>
          <w:szCs w:val="28"/>
        </w:rPr>
        <w:t>сельского поселения  Дрожжановско</w:t>
      </w:r>
      <w:r w:rsidR="00E06FAB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E06FA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E06FAB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Татарстан, на которые не распространяется Единая тарифная сетка по оплате труда работников бюджетной сферы Республики Татарстан</w:t>
      </w:r>
      <w:bookmarkStart w:id="0" w:name="_GoBack"/>
      <w:bookmarkEnd w:id="0"/>
    </w:p>
    <w:p w:rsidR="00607004" w:rsidRDefault="00607004" w:rsidP="00607004">
      <w:pPr>
        <w:jc w:val="both"/>
        <w:rPr>
          <w:sz w:val="28"/>
          <w:szCs w:val="28"/>
        </w:rPr>
      </w:pPr>
    </w:p>
    <w:tbl>
      <w:tblPr>
        <w:tblW w:w="8325" w:type="dxa"/>
        <w:tblInd w:w="18" w:type="dxa"/>
        <w:tblCellMar>
          <w:top w:w="135" w:type="dxa"/>
          <w:left w:w="54" w:type="dxa"/>
          <w:right w:w="60" w:type="dxa"/>
        </w:tblCellMar>
        <w:tblLook w:val="04A0" w:firstRow="1" w:lastRow="0" w:firstColumn="1" w:lastColumn="0" w:noHBand="0" w:noVBand="1"/>
      </w:tblPr>
      <w:tblGrid>
        <w:gridCol w:w="5109"/>
        <w:gridCol w:w="3216"/>
      </w:tblGrid>
      <w:tr w:rsidR="00607004" w:rsidTr="00476176">
        <w:trPr>
          <w:trHeight w:val="726"/>
        </w:trPr>
        <w:tc>
          <w:tcPr>
            <w:tcW w:w="5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004" w:rsidRDefault="00607004" w:rsidP="00607004">
            <w:pPr>
              <w:spacing w:line="254" w:lineRule="auto"/>
              <w:ind w:left="18"/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  <w:r>
              <w:t>Наименование должности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004" w:rsidRDefault="00607004" w:rsidP="00607004">
            <w:pPr>
              <w:spacing w:line="254" w:lineRule="auto"/>
              <w:ind w:left="21"/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  <w:r>
              <w:t>Коэффициент</w:t>
            </w:r>
          </w:p>
        </w:tc>
      </w:tr>
      <w:tr w:rsidR="00607004" w:rsidTr="00476176">
        <w:trPr>
          <w:trHeight w:val="4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7004" w:rsidRDefault="00607004" w:rsidP="00607004">
            <w:pPr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004" w:rsidRDefault="00607004" w:rsidP="00607004">
            <w:pPr>
              <w:spacing w:line="254" w:lineRule="auto"/>
              <w:ind w:left="40"/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  <w:r>
              <w:rPr>
                <w:sz w:val="28"/>
              </w:rPr>
              <w:t>V группа</w:t>
            </w:r>
          </w:p>
        </w:tc>
      </w:tr>
      <w:tr w:rsidR="00607004" w:rsidTr="00476176">
        <w:trPr>
          <w:trHeight w:val="497"/>
        </w:trPr>
        <w:tc>
          <w:tcPr>
            <w:tcW w:w="5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7004" w:rsidRDefault="00607004" w:rsidP="00607004">
            <w:pPr>
              <w:spacing w:line="254" w:lineRule="auto"/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  <w:r>
              <w:t>Главный специалист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004" w:rsidRDefault="00607004" w:rsidP="00607004">
            <w:pPr>
              <w:spacing w:line="254" w:lineRule="auto"/>
              <w:ind w:left="21"/>
              <w:jc w:val="both"/>
              <w:rPr>
                <w:color w:val="000000"/>
                <w:sz w:val="26"/>
                <w:szCs w:val="22"/>
                <w:lang w:val="en-US" w:eastAsia="en-US"/>
              </w:rPr>
            </w:pPr>
            <w:r>
              <w:t>1,10</w:t>
            </w:r>
          </w:p>
        </w:tc>
      </w:tr>
    </w:tbl>
    <w:p w:rsidR="00607004" w:rsidRDefault="00607004" w:rsidP="00607004">
      <w:pPr>
        <w:jc w:val="both"/>
        <w:rPr>
          <w:color w:val="000000"/>
          <w:sz w:val="28"/>
          <w:szCs w:val="28"/>
          <w:lang w:eastAsia="en-US"/>
        </w:rPr>
      </w:pPr>
    </w:p>
    <w:p w:rsidR="00607004" w:rsidRDefault="00607004" w:rsidP="00607004">
      <w:pPr>
        <w:jc w:val="both"/>
      </w:pPr>
    </w:p>
    <w:p w:rsidR="005B6E96" w:rsidRPr="00FC35CB" w:rsidRDefault="005B6E96" w:rsidP="00607004">
      <w:pPr>
        <w:tabs>
          <w:tab w:val="left" w:pos="4862"/>
        </w:tabs>
        <w:ind w:right="2622"/>
        <w:jc w:val="both"/>
        <w:rPr>
          <w:sz w:val="28"/>
          <w:szCs w:val="28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07004" w:rsidRDefault="00607004" w:rsidP="00607004">
      <w:pPr>
        <w:pStyle w:val="a3"/>
        <w:ind w:right="-4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sectPr w:rsidR="00607004" w:rsidSect="0060700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281"/>
    <w:multiLevelType w:val="hybridMultilevel"/>
    <w:tmpl w:val="9B80F94C"/>
    <w:lvl w:ilvl="0" w:tplc="847E3A9A">
      <w:start w:val="4"/>
      <w:numFmt w:val="decimal"/>
      <w:lvlText w:val="%1)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76A82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18E0E8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42AC90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3600E1E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6AAFA6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6AF4CC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580E8C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7AD9FC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31D1DCB"/>
    <w:multiLevelType w:val="hybridMultilevel"/>
    <w:tmpl w:val="34EA72E2"/>
    <w:lvl w:ilvl="0" w:tplc="B846E88C">
      <w:start w:val="1"/>
      <w:numFmt w:val="decimal"/>
      <w:lvlText w:val="%1)"/>
      <w:lvlJc w:val="left"/>
      <w:pPr>
        <w:ind w:left="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9E7F52">
      <w:start w:val="1"/>
      <w:numFmt w:val="lowerLetter"/>
      <w:lvlText w:val="%2"/>
      <w:lvlJc w:val="left"/>
      <w:pPr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881BFA">
      <w:start w:val="1"/>
      <w:numFmt w:val="lowerRoman"/>
      <w:lvlText w:val="%3"/>
      <w:lvlJc w:val="left"/>
      <w:pPr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C2F9AE">
      <w:start w:val="1"/>
      <w:numFmt w:val="decimal"/>
      <w:lvlText w:val="%4"/>
      <w:lvlJc w:val="left"/>
      <w:pPr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1A5FC0">
      <w:start w:val="1"/>
      <w:numFmt w:val="lowerLetter"/>
      <w:lvlText w:val="%5"/>
      <w:lvlJc w:val="left"/>
      <w:pPr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E2F8E8">
      <w:start w:val="1"/>
      <w:numFmt w:val="lowerRoman"/>
      <w:lvlText w:val="%6"/>
      <w:lvlJc w:val="left"/>
      <w:pPr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0AEE236">
      <w:start w:val="1"/>
      <w:numFmt w:val="decimal"/>
      <w:lvlText w:val="%7"/>
      <w:lvlJc w:val="left"/>
      <w:pPr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D58A196">
      <w:start w:val="1"/>
      <w:numFmt w:val="lowerLetter"/>
      <w:lvlText w:val="%8"/>
      <w:lvlJc w:val="left"/>
      <w:pPr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FABD20">
      <w:start w:val="1"/>
      <w:numFmt w:val="lowerRoman"/>
      <w:lvlText w:val="%9"/>
      <w:lvlJc w:val="left"/>
      <w:pPr>
        <w:ind w:left="6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194165B"/>
    <w:multiLevelType w:val="hybridMultilevel"/>
    <w:tmpl w:val="BE8A416E"/>
    <w:lvl w:ilvl="0" w:tplc="72EC5206">
      <w:start w:val="1"/>
      <w:numFmt w:val="decimal"/>
      <w:lvlText w:val="%1."/>
      <w:lvlJc w:val="left"/>
      <w:pPr>
        <w:ind w:left="1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82E2294">
      <w:start w:val="1"/>
      <w:numFmt w:val="lowerLetter"/>
      <w:lvlText w:val="%2"/>
      <w:lvlJc w:val="left"/>
      <w:pPr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1DEEE72">
      <w:start w:val="1"/>
      <w:numFmt w:val="lowerRoman"/>
      <w:lvlText w:val="%3"/>
      <w:lvlJc w:val="left"/>
      <w:pPr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C26E66">
      <w:start w:val="1"/>
      <w:numFmt w:val="decimal"/>
      <w:lvlText w:val="%4"/>
      <w:lvlJc w:val="left"/>
      <w:pPr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7743B2C">
      <w:start w:val="1"/>
      <w:numFmt w:val="lowerLetter"/>
      <w:lvlText w:val="%5"/>
      <w:lvlJc w:val="left"/>
      <w:pPr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9DEED84">
      <w:start w:val="1"/>
      <w:numFmt w:val="lowerRoman"/>
      <w:lvlText w:val="%6"/>
      <w:lvlJc w:val="left"/>
      <w:pPr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A3CB43A">
      <w:start w:val="1"/>
      <w:numFmt w:val="decimal"/>
      <w:lvlText w:val="%7"/>
      <w:lvlJc w:val="left"/>
      <w:pPr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2E0B26">
      <w:start w:val="1"/>
      <w:numFmt w:val="lowerLetter"/>
      <w:lvlText w:val="%8"/>
      <w:lvlJc w:val="left"/>
      <w:pPr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01AC20C">
      <w:start w:val="1"/>
      <w:numFmt w:val="lowerRoman"/>
      <w:lvlText w:val="%9"/>
      <w:lvlJc w:val="left"/>
      <w:pPr>
        <w:ind w:left="6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B663F48"/>
    <w:multiLevelType w:val="hybridMultilevel"/>
    <w:tmpl w:val="C638E81A"/>
    <w:lvl w:ilvl="0" w:tplc="D902CB92">
      <w:start w:val="4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102FB0">
      <w:start w:val="1"/>
      <w:numFmt w:val="lowerLetter"/>
      <w:lvlText w:val="%2"/>
      <w:lvlJc w:val="left"/>
      <w:pPr>
        <w:ind w:left="1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B8A5AE">
      <w:start w:val="1"/>
      <w:numFmt w:val="lowerRoman"/>
      <w:lvlText w:val="%3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721E90">
      <w:start w:val="1"/>
      <w:numFmt w:val="decimal"/>
      <w:lvlText w:val="%4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0A8D24">
      <w:start w:val="1"/>
      <w:numFmt w:val="lowerLetter"/>
      <w:lvlText w:val="%5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3CA720">
      <w:start w:val="1"/>
      <w:numFmt w:val="lowerRoman"/>
      <w:lvlText w:val="%6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924980">
      <w:start w:val="1"/>
      <w:numFmt w:val="decimal"/>
      <w:lvlText w:val="%7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76FEA8">
      <w:start w:val="1"/>
      <w:numFmt w:val="lowerLetter"/>
      <w:lvlText w:val="%8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946CC8">
      <w:start w:val="1"/>
      <w:numFmt w:val="lowerRoman"/>
      <w:lvlText w:val="%9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AD"/>
    <w:rsid w:val="00016167"/>
    <w:rsid w:val="001F6A09"/>
    <w:rsid w:val="002E7DD7"/>
    <w:rsid w:val="00316156"/>
    <w:rsid w:val="00361081"/>
    <w:rsid w:val="004D141B"/>
    <w:rsid w:val="004F4C6B"/>
    <w:rsid w:val="005112A2"/>
    <w:rsid w:val="005B6E96"/>
    <w:rsid w:val="00607004"/>
    <w:rsid w:val="006E0AEB"/>
    <w:rsid w:val="00932385"/>
    <w:rsid w:val="009331AD"/>
    <w:rsid w:val="0099423F"/>
    <w:rsid w:val="00AB2F45"/>
    <w:rsid w:val="00C47A27"/>
    <w:rsid w:val="00D01484"/>
    <w:rsid w:val="00D155EA"/>
    <w:rsid w:val="00E06FAB"/>
    <w:rsid w:val="00E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AEB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6E0AEB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607004"/>
    <w:pPr>
      <w:spacing w:after="14" w:line="244" w:lineRule="auto"/>
      <w:ind w:left="720" w:right="3315" w:hanging="1"/>
      <w:contextualSpacing/>
      <w:jc w:val="both"/>
    </w:pPr>
    <w:rPr>
      <w:color w:val="000000"/>
      <w:sz w:val="26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07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0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AEB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6E0AEB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607004"/>
    <w:pPr>
      <w:spacing w:after="14" w:line="244" w:lineRule="auto"/>
      <w:ind w:left="720" w:right="3315" w:hanging="1"/>
      <w:contextualSpacing/>
      <w:jc w:val="both"/>
    </w:pPr>
    <w:rPr>
      <w:color w:val="000000"/>
      <w:sz w:val="26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07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2018-04-28T06:01:00Z</cp:lastPrinted>
  <dcterms:created xsi:type="dcterms:W3CDTF">2017-11-02T05:11:00Z</dcterms:created>
  <dcterms:modified xsi:type="dcterms:W3CDTF">2018-04-28T06:02:00Z</dcterms:modified>
</cp:coreProperties>
</file>